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A4" w:rsidRPr="007758C1" w:rsidRDefault="006450A4" w:rsidP="006450A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758C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Положению о внутренней системе</w:t>
      </w: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оценки качества образования</w:t>
      </w:r>
    </w:p>
    <w:p w:rsidR="006450A4" w:rsidRPr="002F29C7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6450A4" w:rsidRPr="00D266A3" w:rsidRDefault="006450A4" w:rsidP="006450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</w:t>
      </w:r>
    </w:p>
    <w:p w:rsidR="006450A4" w:rsidRPr="002F29C7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F29C7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и</w:t>
      </w:r>
      <w:r w:rsidRPr="002F29C7">
        <w:rPr>
          <w:rFonts w:ascii="Times New Roman" w:hAnsi="Times New Roman"/>
          <w:b/>
          <w:sz w:val="24"/>
          <w:szCs w:val="24"/>
        </w:rPr>
        <w:t xml:space="preserve"> образовательных программ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6642"/>
        <w:gridCol w:w="2693"/>
      </w:tblGrid>
      <w:tr w:rsidR="006450A4" w:rsidRPr="00E87720" w:rsidTr="00AE62DF">
        <w:tc>
          <w:tcPr>
            <w:tcW w:w="696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2" w:type="dxa"/>
            <w:vAlign w:val="center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6450A4" w:rsidRPr="007758C1" w:rsidRDefault="006450A4" w:rsidP="0064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450A4" w:rsidRPr="00E87720" w:rsidTr="00AE62DF">
        <w:tc>
          <w:tcPr>
            <w:tcW w:w="10031" w:type="dxa"/>
            <w:gridSpan w:val="3"/>
            <w:shd w:val="clear" w:color="auto" w:fill="D9D9D9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очная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очно-заочная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заочная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семейное образование и самообразование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• сетевая форма 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</w:tcBorders>
          </w:tcPr>
          <w:p w:rsidR="006450A4" w:rsidRPr="007758C1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10031" w:type="dxa"/>
            <w:gridSpan w:val="3"/>
            <w:shd w:val="clear" w:color="auto" w:fill="D9D9D9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2. Соответствие содержания образования требованиям ФК ГОС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 xml:space="preserve">Наличие учебных планов для учащихся, осваивающих ОП в очной, очно-заочной, заочной формах обучения, в форме </w:t>
            </w:r>
            <w:r w:rsidRPr="00E8772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семейного образования и самообразования</w:t>
            </w:r>
            <w:r w:rsidRPr="00E87720">
              <w:rPr>
                <w:rFonts w:ascii="Times New Roman" w:hAnsi="Times New Roman"/>
                <w:sz w:val="24"/>
                <w:szCs w:val="24"/>
              </w:rPr>
              <w:t>; по индивидуальному плану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регионального (национально-регионального) компонента и компонента образовательного учреждения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 учебного плана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содержания рабочих программ учебных предметов требованиям ФК ГОС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всем учебным предметам учебного плана (выполнение рабочих программ)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 в рамках ОП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642" w:type="dxa"/>
            <w:shd w:val="clear" w:color="auto" w:fill="auto"/>
          </w:tcPr>
          <w:p w:rsidR="006450A4" w:rsidRPr="002F29C7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93" w:type="dxa"/>
            <w:shd w:val="clear" w:color="auto" w:fill="auto"/>
          </w:tcPr>
          <w:p w:rsidR="006450A4" w:rsidRPr="002F29C7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642" w:type="dxa"/>
            <w:shd w:val="clear" w:color="auto" w:fill="auto"/>
          </w:tcPr>
          <w:p w:rsidR="006450A4" w:rsidRPr="002F29C7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93" w:type="dxa"/>
            <w:shd w:val="clear" w:color="auto" w:fill="auto"/>
          </w:tcPr>
          <w:p w:rsidR="006450A4" w:rsidRPr="002F29C7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642" w:type="dxa"/>
            <w:shd w:val="clear" w:color="auto" w:fill="auto"/>
          </w:tcPr>
          <w:p w:rsidR="006450A4" w:rsidRPr="002F29C7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плана работы с одаренными обучающимися</w:t>
            </w:r>
          </w:p>
        </w:tc>
        <w:tc>
          <w:tcPr>
            <w:tcW w:w="2693" w:type="dxa"/>
            <w:shd w:val="clear" w:color="auto" w:fill="auto"/>
          </w:tcPr>
          <w:p w:rsidR="006450A4" w:rsidRPr="002F29C7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rPr>
          <w:trHeight w:val="299"/>
        </w:trPr>
        <w:tc>
          <w:tcPr>
            <w:tcW w:w="10031" w:type="dxa"/>
            <w:gridSpan w:val="3"/>
            <w:shd w:val="clear" w:color="auto" w:fill="D9D9D9"/>
          </w:tcPr>
          <w:p w:rsidR="006450A4" w:rsidRPr="00E87720" w:rsidRDefault="006450A4" w:rsidP="00AE6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20">
              <w:rPr>
                <w:rFonts w:ascii="Times New Roman" w:hAnsi="Times New Roman"/>
                <w:b/>
                <w:sz w:val="24"/>
                <w:szCs w:val="24"/>
              </w:rPr>
              <w:t>3. Соответствие содержания образования требованиям ФГОС ОО</w:t>
            </w: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E87720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структуры ООП требованиям ФГОС ОО: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</w:tcBorders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Отражение в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и количество индивидуальных учебных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по очно-заочной, заочной форме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с ОВЗ на основаниях инклюзии в классах с нормативно развивающимися сверстниками</w:t>
            </w:r>
          </w:p>
        </w:tc>
        <w:tc>
          <w:tcPr>
            <w:tcW w:w="2693" w:type="dxa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9-х классов, реализующих индивидуальные проекты в рамках профориентации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профильных классов на уровне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Программе формирования и развития УУД и Программе воспитания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642" w:type="dxa"/>
            <w:shd w:val="clear" w:color="auto" w:fill="auto"/>
          </w:tcPr>
          <w:p w:rsidR="006450A4" w:rsidRPr="007D1CE5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CE5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</w:tbl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Pr="007758C1" w:rsidRDefault="006450A4" w:rsidP="006450A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58C1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6450A4" w:rsidRPr="0028428C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8428C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6450A4" w:rsidRPr="0028428C" w:rsidRDefault="006450A4" w:rsidP="0064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28428C">
        <w:rPr>
          <w:rFonts w:ascii="Times New Roman" w:hAnsi="Times New Roman"/>
          <w:b/>
          <w:sz w:val="24"/>
          <w:szCs w:val="24"/>
        </w:rPr>
        <w:t xml:space="preserve"> </w:t>
      </w: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28C">
        <w:rPr>
          <w:rFonts w:ascii="Times New Roman" w:hAnsi="Times New Roman"/>
          <w:b/>
          <w:sz w:val="24"/>
          <w:szCs w:val="24"/>
        </w:rPr>
        <w:t>оценки условий реализации образовательных программ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917"/>
        <w:gridCol w:w="2410"/>
      </w:tblGrid>
      <w:tr w:rsidR="006450A4" w:rsidRPr="00515E6C" w:rsidTr="00AE62DF">
        <w:tc>
          <w:tcPr>
            <w:tcW w:w="709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  <w:vAlign w:val="center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:rsidR="006450A4" w:rsidRPr="007758C1" w:rsidRDefault="006450A4" w:rsidP="0064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Кадровые условия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педагогическое образование по специальности преподаваемого предмета или соответствующую переподготовку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</w:t>
            </w:r>
            <w:r w:rsidRPr="007758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получающих высшее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 и руководителей, прошедших повышение квалификации по профилю профессиональной деятельности за последние 3 года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своевременно прошедших повышение квалификации по осуществлению образовательной деятельности в условиях ФГОС ОО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возможности повышения квалификации через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аттестованных педагогов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первую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аттестованных на соответствие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 профессионального мастерства конкурса, в т.ч. конкурсе «Учитель года»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/нет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 личный сайт/блог/интернет-страничку на различных платформах или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>ведущих личную страничку на сайте школы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награды МО РФ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имеющих награды </w:t>
            </w:r>
            <w:r w:rsidRPr="0077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уровне региона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6450A4" w:rsidRPr="00515E6C" w:rsidTr="00AE62DF">
        <w:tblPrEx>
          <w:tblLook w:val="01E0"/>
        </w:tblPrEx>
        <w:trPr>
          <w:trHeight w:val="297"/>
        </w:trPr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воспитания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формирования и развития УУД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515E6C" w:rsidTr="00AE62DF">
        <w:tblPrEx>
          <w:tblLook w:val="01E0"/>
        </w:tblPrEx>
        <w:trPr>
          <w:trHeight w:val="281"/>
        </w:trPr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Материально-технические условия 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 на 1 компьютер, используемый в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мультимедийных установок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Общий процент оснащенности учебных кабинетов 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медиатекой;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оснащенного средствами сканирования и распознавания текстов;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Информационно­методические</w:t>
            </w:r>
            <w:r w:rsidRPr="00515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условия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Обеспеченность образовательной организации учебной литературой, используемой в текущем году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 литературы в общем количестве единиц хранения библиотечного фонда, состоящих на учете, в расчете на одного учащегося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(фонд художественной литературы)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(ф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онд справочной литературы)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научно-популярной литературы в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общем количестве единиц хранения библиотечного фонда, состоящих на учете, в расчете на одного учащегося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(фонд научно-популярной литературы)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Ед 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Общий процент обеспеченности учебной литературой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федеральному перечню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917" w:type="dxa"/>
            <w:shd w:val="clear" w:color="auto" w:fill="auto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 и/или цифровых программных продуктов при реализации рабочих программ по предметам учебного плана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917" w:type="dxa"/>
            <w:shd w:val="clear" w:color="auto" w:fill="auto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помещений</w:t>
            </w:r>
            <w:r w:rsidRPr="00F922BB">
              <w:rPr>
                <w:rFonts w:ascii="Times New Roman" w:hAnsi="Times New Roman"/>
                <w:sz w:val="24"/>
                <w:szCs w:val="24"/>
              </w:rPr>
              <w:t xml:space="preserve">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410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917" w:type="dxa"/>
            <w:shd w:val="clear" w:color="auto" w:fill="auto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помещений </w:t>
            </w:r>
            <w:r w:rsidRPr="00E43CCA">
              <w:rPr>
                <w:rFonts w:ascii="Times New Roman" w:hAnsi="Times New Roman"/>
                <w:sz w:val="24"/>
                <w:szCs w:val="24"/>
              </w:rPr>
              <w:t>для реализации учебной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0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A48">
              <w:rPr>
                <w:rFonts w:ascii="Times New Roman" w:hAnsi="Times New Roman"/>
                <w:sz w:val="24"/>
                <w:szCs w:val="24"/>
              </w:rPr>
              <w:t>занятий музыкой, хореографией и изобразительным искусством</w:t>
            </w:r>
            <w:r>
              <w:rPr>
                <w:rFonts w:ascii="Times New Roman" w:hAnsi="Times New Roman"/>
                <w:sz w:val="24"/>
                <w:szCs w:val="24"/>
              </w:rPr>
              <w:t>, спортом</w:t>
            </w:r>
          </w:p>
        </w:tc>
        <w:tc>
          <w:tcPr>
            <w:tcW w:w="2410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ст. 29 Федерального закона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 (на сайте)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ОО от получателей образовательных услуг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10036" w:type="dxa"/>
            <w:gridSpan w:val="3"/>
            <w:shd w:val="clear" w:color="auto" w:fill="auto"/>
          </w:tcPr>
          <w:p w:rsidR="006450A4" w:rsidRPr="007758C1" w:rsidRDefault="006450A4" w:rsidP="006450A4">
            <w:pPr>
              <w:pStyle w:val="a3"/>
              <w:numPr>
                <w:ilvl w:val="0"/>
                <w:numId w:val="1"/>
              </w:numPr>
              <w:jc w:val="center"/>
              <w:rPr>
                <w:spacing w:val="-8"/>
              </w:rPr>
            </w:pPr>
            <w:r w:rsidRPr="007758C1">
              <w:rPr>
                <w:b/>
                <w:spacing w:val="-8"/>
              </w:rPr>
              <w:t>Медико-социальные условия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не пропускающих занятия по болезни  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первую и вторую группы здоровья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высокий и средний уровень здоровья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случаев травматизма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прошедших вакцинопрофилактику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охваченных горячим питанием  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отдохнувших в оздоровительном лагере с дневным пребыванием учащихся, организованном на базе ОО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</w:tbl>
    <w:p w:rsidR="006450A4" w:rsidRPr="007758C1" w:rsidRDefault="006450A4" w:rsidP="0064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0A4" w:rsidRPr="00FA19C0" w:rsidRDefault="006450A4" w:rsidP="006450A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FA19C0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6450A4" w:rsidRPr="00627F40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27F40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F40">
        <w:rPr>
          <w:rFonts w:ascii="Times New Roman" w:hAnsi="Times New Roman"/>
          <w:b/>
          <w:sz w:val="24"/>
          <w:szCs w:val="24"/>
        </w:rPr>
        <w:t>оценки образовательных результатов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6725"/>
        <w:gridCol w:w="851"/>
        <w:gridCol w:w="851"/>
        <w:gridCol w:w="851"/>
      </w:tblGrid>
      <w:tr w:rsidR="006450A4" w:rsidRPr="0028428C" w:rsidTr="00AE62DF">
        <w:tc>
          <w:tcPr>
            <w:tcW w:w="75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5" w:type="dxa"/>
            <w:vAlign w:val="center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3" w:type="dxa"/>
            <w:gridSpan w:val="3"/>
            <w:vAlign w:val="center"/>
          </w:tcPr>
          <w:p w:rsidR="006450A4" w:rsidRPr="007758C1" w:rsidRDefault="006450A4" w:rsidP="0064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450A4" w:rsidRPr="0028428C" w:rsidTr="00AE62DF">
        <w:tblPrEx>
          <w:tblLook w:val="01E0"/>
        </w:tblPrEx>
        <w:trPr>
          <w:trHeight w:val="70"/>
        </w:trPr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. Показатели результативности работы школы  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1.Учебные достижения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имеющих по результатам промежуточной аттестации положительные отметки (успеваемость) 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по результатам промежуточной аттестации отметки «4» и «5» (качество)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9 классов, успешно сдавших ОГЭ по русскому языку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rPr>
          <w:trHeight w:val="533"/>
        </w:trPr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классов, успешно сдавших ОГЭ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основное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русскому языку от общего количества выпускников, сдававших ЕГЭ по русскому языку.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математике от общего количества выпускников, сдававших ЕГЭ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среднее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/>
        </w:tblPrEx>
        <w:trPr>
          <w:trHeight w:val="199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 освоения обучающимися основных образовательных программ НОО, ООО и СОО 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2. Внеучебные достижения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окружных, областных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  участников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3.Обеспечение доступности образования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не посещающих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часто пропускающих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отчисленных из ОУ с разрешения ТКДН и ЗП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учащихся, состоящих на учете в ТКДН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4. Удовлетворенность участников образовательного процесса качеством образования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положительно оценивающих доброжелательность, вежливость, компетентность работников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удовлетворенных качеством образовательной деятельности ОО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6450A4" w:rsidRPr="007758C1" w:rsidRDefault="006450A4" w:rsidP="0064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02" w:rsidRDefault="009F0602" w:rsidP="006450A4"/>
    <w:sectPr w:rsidR="009F0602" w:rsidSect="0023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9F1" w:rsidRDefault="00EB19F1" w:rsidP="006450A4">
      <w:pPr>
        <w:spacing w:after="0" w:line="240" w:lineRule="auto"/>
      </w:pPr>
      <w:r>
        <w:separator/>
      </w:r>
    </w:p>
  </w:endnote>
  <w:endnote w:type="continuationSeparator" w:id="0">
    <w:p w:rsidR="00EB19F1" w:rsidRDefault="00EB19F1" w:rsidP="0064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9F1" w:rsidRDefault="00EB19F1" w:rsidP="006450A4">
      <w:pPr>
        <w:spacing w:after="0" w:line="240" w:lineRule="auto"/>
      </w:pPr>
      <w:r>
        <w:separator/>
      </w:r>
    </w:p>
  </w:footnote>
  <w:footnote w:type="continuationSeparator" w:id="0">
    <w:p w:rsidR="00EB19F1" w:rsidRDefault="00EB19F1" w:rsidP="0064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F2A0E"/>
    <w:multiLevelType w:val="hybridMultilevel"/>
    <w:tmpl w:val="B36A62E0"/>
    <w:lvl w:ilvl="0" w:tplc="B1D0F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0A4"/>
    <w:rsid w:val="002178A2"/>
    <w:rsid w:val="00236952"/>
    <w:rsid w:val="00282338"/>
    <w:rsid w:val="004425E2"/>
    <w:rsid w:val="006450A4"/>
    <w:rsid w:val="009F0602"/>
    <w:rsid w:val="00EB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450A4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basedOn w:val="a0"/>
    <w:link w:val="a4"/>
    <w:uiPriority w:val="99"/>
    <w:semiHidden/>
    <w:rsid w:val="006450A4"/>
    <w:rPr>
      <w:rFonts w:ascii="Calibri" w:eastAsia="Calibri" w:hAnsi="Calibri" w:cs="Times New Roman"/>
      <w:sz w:val="20"/>
      <w:szCs w:val="20"/>
      <w:lang/>
    </w:rPr>
  </w:style>
  <w:style w:type="character" w:styleId="a6">
    <w:name w:val="footnote reference"/>
    <w:uiPriority w:val="99"/>
    <w:semiHidden/>
    <w:unhideWhenUsed/>
    <w:rsid w:val="00645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2021-01-12T18:24:00Z</dcterms:created>
  <dcterms:modified xsi:type="dcterms:W3CDTF">2022-02-01T04:54:00Z</dcterms:modified>
</cp:coreProperties>
</file>